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A2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  <w:u w:val="single"/>
        </w:rPr>
        <w:t>Biography:</w:t>
      </w:r>
    </w:p>
    <w:p w:rsidR="00F271A2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71A2" w:rsidRDefault="00DF496E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Stephen D. Jenkins, Principal, Energy &amp; Chemicals Consulting, LLC</w:t>
      </w:r>
    </w:p>
    <w:p w:rsidR="00F271A2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71A2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Cell: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DF496E">
        <w:rPr>
          <w:rFonts w:ascii="Arial" w:hAnsi="Arial" w:cs="Arial"/>
          <w:i/>
          <w:iCs/>
          <w:color w:val="000000"/>
          <w:sz w:val="22"/>
          <w:szCs w:val="22"/>
        </w:rPr>
        <w:t>813-470-9369</w:t>
      </w:r>
    </w:p>
    <w:p w:rsidR="00F271A2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F496E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Style w:val="apple-converted-space"/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E-mail: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hyperlink r:id="rId5" w:history="1">
        <w:r w:rsidR="00DF496E" w:rsidRPr="007562C3">
          <w:rPr>
            <w:rStyle w:val="Hyperlink"/>
            <w:rFonts w:ascii="Arial" w:hAnsi="Arial" w:cs="Arial"/>
            <w:b/>
            <w:bCs/>
            <w:i/>
            <w:iCs/>
            <w:sz w:val="27"/>
            <w:szCs w:val="27"/>
          </w:rPr>
          <w:t>sdjenkins01@gmail.com</w:t>
        </w:r>
      </w:hyperlink>
    </w:p>
    <w:p w:rsidR="00F271A2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71A2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Mailing Address:</w:t>
      </w:r>
    </w:p>
    <w:p w:rsidR="00DF496E" w:rsidRDefault="00DF496E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Energy &amp; Chemicals Consulting, LLC</w:t>
      </w:r>
    </w:p>
    <w:p w:rsidR="00DF496E" w:rsidRDefault="00DF496E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4963 Bacopa Lane South</w:t>
      </w:r>
    </w:p>
    <w:p w:rsidR="00DF496E" w:rsidRDefault="00DF496E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Unit 404</w:t>
      </w:r>
    </w:p>
    <w:p w:rsidR="00DF496E" w:rsidRDefault="00DF496E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St. Petersburg, FL 33715-2624</w:t>
      </w:r>
    </w:p>
    <w:p w:rsidR="00F271A2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71A2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Niche Expertise:</w:t>
      </w:r>
      <w:r w:rsidR="00870AD9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</w:p>
    <w:p w:rsidR="00870AD9" w:rsidRDefault="00870AD9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bCs/>
          <w:iCs/>
          <w:color w:val="000000"/>
          <w:sz w:val="27"/>
          <w:szCs w:val="27"/>
        </w:rPr>
      </w:pPr>
      <w:r>
        <w:rPr>
          <w:rFonts w:ascii="Arial" w:hAnsi="Arial" w:cs="Arial"/>
          <w:bCs/>
          <w:iCs/>
          <w:color w:val="000000"/>
          <w:sz w:val="27"/>
          <w:szCs w:val="27"/>
        </w:rPr>
        <w:t xml:space="preserve">Technical, environmental and economic evaluations, and engineering design, of gasification and pyrolysis technologies using coal, petroleum coke, biomass, </w:t>
      </w:r>
      <w:r w:rsidR="0033310B">
        <w:rPr>
          <w:rFonts w:ascii="Arial" w:hAnsi="Arial" w:cs="Arial"/>
          <w:bCs/>
          <w:iCs/>
          <w:color w:val="000000"/>
          <w:sz w:val="27"/>
          <w:szCs w:val="27"/>
        </w:rPr>
        <w:t xml:space="preserve">biosolids </w:t>
      </w:r>
      <w:r>
        <w:rPr>
          <w:rFonts w:ascii="Arial" w:hAnsi="Arial" w:cs="Arial"/>
          <w:bCs/>
          <w:iCs/>
          <w:color w:val="000000"/>
          <w:sz w:val="27"/>
          <w:szCs w:val="27"/>
        </w:rPr>
        <w:t xml:space="preserve">and municipal solid waste feedstocks. </w:t>
      </w:r>
    </w:p>
    <w:p w:rsidR="00870AD9" w:rsidRDefault="00870AD9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bCs/>
          <w:iCs/>
          <w:color w:val="000000"/>
          <w:sz w:val="27"/>
          <w:szCs w:val="27"/>
        </w:rPr>
      </w:pPr>
    </w:p>
    <w:p w:rsidR="00870AD9" w:rsidRPr="00DF496E" w:rsidRDefault="00870AD9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bCs/>
          <w:iCs/>
          <w:color w:val="000000"/>
          <w:sz w:val="27"/>
          <w:szCs w:val="27"/>
        </w:rPr>
      </w:pPr>
      <w:r>
        <w:rPr>
          <w:rFonts w:ascii="Arial" w:hAnsi="Arial" w:cs="Arial"/>
          <w:bCs/>
          <w:iCs/>
          <w:color w:val="000000"/>
          <w:sz w:val="27"/>
          <w:szCs w:val="27"/>
        </w:rPr>
        <w:t xml:space="preserve">Large-scale coal and petroleum coke gasification plants for generating power and for producing chemicals, liquid fuels, ammonia, and urea-based fertilizers. </w:t>
      </w:r>
    </w:p>
    <w:p w:rsidR="00DF496E" w:rsidRDefault="00DF496E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F271A2" w:rsidRDefault="00F271A2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Networking Contact Interest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870AD9" w:rsidRPr="00870AD9" w:rsidRDefault="00870AD9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  <w:r w:rsidRPr="00870AD9">
        <w:rPr>
          <w:rFonts w:ascii="Arial" w:hAnsi="Arial" w:cs="Arial"/>
          <w:color w:val="000000"/>
          <w:sz w:val="27"/>
          <w:szCs w:val="27"/>
        </w:rPr>
        <w:t xml:space="preserve">Gasification system </w:t>
      </w:r>
      <w:r>
        <w:rPr>
          <w:rFonts w:ascii="Arial" w:hAnsi="Arial" w:cs="Arial"/>
          <w:color w:val="000000"/>
          <w:sz w:val="27"/>
          <w:szCs w:val="27"/>
        </w:rPr>
        <w:t xml:space="preserve">owners, developers, </w:t>
      </w:r>
      <w:r w:rsidR="00F21784">
        <w:rPr>
          <w:rFonts w:ascii="Arial" w:hAnsi="Arial" w:cs="Arial"/>
          <w:color w:val="000000"/>
          <w:sz w:val="27"/>
          <w:szCs w:val="27"/>
        </w:rPr>
        <w:t xml:space="preserve">designers </w:t>
      </w:r>
      <w:r>
        <w:rPr>
          <w:rFonts w:ascii="Arial" w:hAnsi="Arial" w:cs="Arial"/>
          <w:color w:val="000000"/>
          <w:sz w:val="27"/>
          <w:szCs w:val="27"/>
        </w:rPr>
        <w:t xml:space="preserve">and investors, as well as </w:t>
      </w:r>
      <w:r w:rsidR="00F21784">
        <w:rPr>
          <w:rFonts w:ascii="Arial" w:hAnsi="Arial" w:cs="Arial"/>
          <w:color w:val="000000"/>
          <w:sz w:val="27"/>
          <w:szCs w:val="27"/>
        </w:rPr>
        <w:t xml:space="preserve">industrial companies and municipal agencies considering gasification as a potential technology for production of chemicals and fuels, and for the generation of renewable electricity. </w:t>
      </w:r>
    </w:p>
    <w:p w:rsidR="00870AD9" w:rsidRDefault="00870AD9" w:rsidP="00F271A2">
      <w:pPr>
        <w:pStyle w:val="NormalWeb"/>
        <w:shd w:val="clear" w:color="auto" w:fill="E9EAEB"/>
        <w:spacing w:before="0" w:beforeAutospacing="0" w:after="0" w:afterAutospacing="0"/>
        <w:ind w:left="450"/>
        <w:rPr>
          <w:color w:val="000000"/>
          <w:sz w:val="27"/>
          <w:szCs w:val="27"/>
        </w:rPr>
      </w:pPr>
    </w:p>
    <w:p w:rsidR="00F271A2" w:rsidRDefault="00F271A2" w:rsidP="00F21784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Present work, business and personal history:</w:t>
      </w:r>
    </w:p>
    <w:p w:rsidR="00F21784" w:rsidRDefault="00F21784" w:rsidP="00F21784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Steve Jenkins has 40 years of experience in the process and power industries, with a specialty in the design, permitting, </w:t>
      </w:r>
      <w:r w:rsidR="004C72F8">
        <w:rPr>
          <w:rFonts w:ascii="Arial" w:hAnsi="Arial" w:cs="Arial"/>
          <w:color w:val="000000"/>
          <w:sz w:val="27"/>
          <w:szCs w:val="27"/>
        </w:rPr>
        <w:t>construction</w:t>
      </w:r>
      <w:r>
        <w:rPr>
          <w:rFonts w:ascii="Arial" w:hAnsi="Arial" w:cs="Arial"/>
          <w:color w:val="000000"/>
          <w:sz w:val="27"/>
          <w:szCs w:val="27"/>
        </w:rPr>
        <w:t xml:space="preserve"> and operation of gasification technologies for the conversion of a wide range of feedstocks into valuable </w:t>
      </w:r>
      <w:r w:rsidR="004C72F8">
        <w:rPr>
          <w:rFonts w:ascii="Arial" w:hAnsi="Arial" w:cs="Arial"/>
          <w:color w:val="000000"/>
          <w:sz w:val="27"/>
          <w:szCs w:val="27"/>
        </w:rPr>
        <w:t>downstream</w:t>
      </w:r>
      <w:r>
        <w:rPr>
          <w:rFonts w:ascii="Arial" w:hAnsi="Arial" w:cs="Arial"/>
          <w:color w:val="000000"/>
          <w:sz w:val="27"/>
          <w:szCs w:val="27"/>
        </w:rPr>
        <w:t xml:space="preserve"> products. His </w:t>
      </w:r>
      <w:r w:rsidR="004C72F8">
        <w:rPr>
          <w:rFonts w:ascii="Arial" w:hAnsi="Arial" w:cs="Arial"/>
          <w:color w:val="000000"/>
          <w:sz w:val="27"/>
          <w:szCs w:val="27"/>
        </w:rPr>
        <w:t>broad</w:t>
      </w:r>
      <w:r>
        <w:rPr>
          <w:rFonts w:ascii="Arial" w:hAnsi="Arial" w:cs="Arial"/>
          <w:color w:val="000000"/>
          <w:sz w:val="27"/>
          <w:szCs w:val="27"/>
        </w:rPr>
        <w:t xml:space="preserve">, hands-on experience ranges from small </w:t>
      </w:r>
      <w:r w:rsidR="004C72F8">
        <w:rPr>
          <w:rFonts w:ascii="Arial" w:hAnsi="Arial" w:cs="Arial"/>
          <w:color w:val="000000"/>
          <w:sz w:val="27"/>
          <w:szCs w:val="27"/>
        </w:rPr>
        <w:t>gasification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4C72F8">
        <w:rPr>
          <w:rFonts w:ascii="Arial" w:hAnsi="Arial" w:cs="Arial"/>
          <w:color w:val="000000"/>
          <w:sz w:val="27"/>
          <w:szCs w:val="27"/>
        </w:rPr>
        <w:t>systems</w:t>
      </w:r>
      <w:r>
        <w:rPr>
          <w:rFonts w:ascii="Arial" w:hAnsi="Arial" w:cs="Arial"/>
          <w:color w:val="000000"/>
          <w:sz w:val="27"/>
          <w:szCs w:val="27"/>
        </w:rPr>
        <w:t xml:space="preserve"> using biomass, biosolids and </w:t>
      </w:r>
      <w:r w:rsidR="004C72F8">
        <w:rPr>
          <w:rFonts w:ascii="Arial" w:hAnsi="Arial" w:cs="Arial"/>
          <w:color w:val="000000"/>
          <w:sz w:val="27"/>
          <w:szCs w:val="27"/>
        </w:rPr>
        <w:t>waste</w:t>
      </w:r>
      <w:r>
        <w:rPr>
          <w:rFonts w:ascii="Arial" w:hAnsi="Arial" w:cs="Arial"/>
          <w:color w:val="000000"/>
          <w:sz w:val="27"/>
          <w:szCs w:val="27"/>
        </w:rPr>
        <w:t>, to large-scale coal and pet coke gasification plants designed for up to 10,</w:t>
      </w:r>
      <w:r w:rsidR="004C72F8">
        <w:rPr>
          <w:rFonts w:ascii="Arial" w:hAnsi="Arial" w:cs="Arial"/>
          <w:color w:val="000000"/>
          <w:sz w:val="27"/>
          <w:szCs w:val="27"/>
        </w:rPr>
        <w:t>0</w:t>
      </w:r>
      <w:r>
        <w:rPr>
          <w:rFonts w:ascii="Arial" w:hAnsi="Arial" w:cs="Arial"/>
          <w:color w:val="000000"/>
          <w:sz w:val="27"/>
          <w:szCs w:val="27"/>
        </w:rPr>
        <w:t>00 tons/day of feedstocks.</w:t>
      </w:r>
    </w:p>
    <w:p w:rsidR="00F21784" w:rsidRDefault="00F21784" w:rsidP="00F21784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</w:p>
    <w:p w:rsidR="00F21784" w:rsidRDefault="00F21784" w:rsidP="00F21784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His </w:t>
      </w:r>
      <w:r w:rsidR="004C72F8">
        <w:rPr>
          <w:rFonts w:ascii="Arial" w:hAnsi="Arial" w:cs="Arial"/>
          <w:color w:val="000000"/>
          <w:sz w:val="27"/>
          <w:szCs w:val="27"/>
        </w:rPr>
        <w:t>gasification</w:t>
      </w:r>
      <w:r>
        <w:rPr>
          <w:rFonts w:ascii="Arial" w:hAnsi="Arial" w:cs="Arial"/>
          <w:color w:val="000000"/>
          <w:sz w:val="27"/>
          <w:szCs w:val="27"/>
        </w:rPr>
        <w:t xml:space="preserve"> downstream process experience includes syngas cleaning, acid gas removal, CO</w:t>
      </w:r>
      <w:r w:rsidRPr="0033310B">
        <w:rPr>
          <w:rFonts w:ascii="Arial" w:hAnsi="Arial" w:cs="Arial"/>
          <w:color w:val="000000"/>
          <w:sz w:val="27"/>
          <w:szCs w:val="27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 capture and </w:t>
      </w:r>
      <w:r w:rsidR="0033310B">
        <w:rPr>
          <w:rFonts w:ascii="Arial" w:hAnsi="Arial" w:cs="Arial"/>
          <w:color w:val="000000"/>
          <w:sz w:val="27"/>
          <w:szCs w:val="27"/>
        </w:rPr>
        <w:t>use</w:t>
      </w:r>
      <w:r>
        <w:rPr>
          <w:rFonts w:ascii="Arial" w:hAnsi="Arial" w:cs="Arial"/>
          <w:color w:val="000000"/>
          <w:sz w:val="27"/>
          <w:szCs w:val="27"/>
        </w:rPr>
        <w:t>, downstream syngas</w:t>
      </w:r>
      <w:r w:rsidR="0033310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use for power generation, and for producing chemicals, liquid fuels, and ammonia products. </w:t>
      </w:r>
    </w:p>
    <w:p w:rsidR="00F21784" w:rsidRDefault="00F21784" w:rsidP="00F21784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</w:p>
    <w:p w:rsidR="00F21784" w:rsidRDefault="00F21784" w:rsidP="00F21784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Steve utilizes his wide range of gasifier experience to provide his clients with independent, unbiased evaluations of gasifier </w:t>
      </w:r>
      <w:r w:rsidR="004C72F8">
        <w:rPr>
          <w:rFonts w:ascii="Arial" w:hAnsi="Arial" w:cs="Arial"/>
          <w:color w:val="000000"/>
          <w:sz w:val="27"/>
          <w:szCs w:val="27"/>
        </w:rPr>
        <w:t>technologies</w:t>
      </w:r>
      <w:r>
        <w:rPr>
          <w:rFonts w:ascii="Arial" w:hAnsi="Arial" w:cs="Arial"/>
          <w:color w:val="000000"/>
          <w:sz w:val="27"/>
          <w:szCs w:val="27"/>
        </w:rPr>
        <w:t>, helping them to select the best combinations of feedstocks, gasifiers, syngas cleaning and processing, and downstream syngas conversion processes. Using his hands-on knowledge and experience, from a wide range of gasifiers and projects, he assists his clients in identifying and solving gasifier performance problems, including l</w:t>
      </w:r>
      <w:r w:rsidR="0033310B">
        <w:rPr>
          <w:rFonts w:ascii="Arial" w:hAnsi="Arial" w:cs="Arial"/>
          <w:color w:val="000000"/>
          <w:sz w:val="27"/>
          <w:szCs w:val="27"/>
        </w:rPr>
        <w:t>ow</w:t>
      </w:r>
      <w:r>
        <w:rPr>
          <w:rFonts w:ascii="Arial" w:hAnsi="Arial" w:cs="Arial"/>
          <w:color w:val="000000"/>
          <w:sz w:val="27"/>
          <w:szCs w:val="27"/>
        </w:rPr>
        <w:t xml:space="preserve"> efficiency, ash chemistry problems, and syn</w:t>
      </w:r>
      <w:r w:rsidR="0033310B">
        <w:rPr>
          <w:rFonts w:ascii="Arial" w:hAnsi="Arial" w:cs="Arial"/>
          <w:color w:val="000000"/>
          <w:sz w:val="27"/>
          <w:szCs w:val="27"/>
        </w:rPr>
        <w:t>g</w:t>
      </w:r>
      <w:r>
        <w:rPr>
          <w:rFonts w:ascii="Arial" w:hAnsi="Arial" w:cs="Arial"/>
          <w:color w:val="000000"/>
          <w:sz w:val="27"/>
          <w:szCs w:val="27"/>
        </w:rPr>
        <w:t xml:space="preserve">as contamination. </w:t>
      </w:r>
    </w:p>
    <w:p w:rsidR="00F21784" w:rsidRDefault="00F21784" w:rsidP="00F21784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</w:p>
    <w:p w:rsidR="00F21784" w:rsidRDefault="00F21784" w:rsidP="00F21784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As a board member of the Gasification </w:t>
      </w:r>
      <w:r w:rsidR="004C72F8">
        <w:rPr>
          <w:rFonts w:ascii="Arial" w:hAnsi="Arial" w:cs="Arial"/>
          <w:color w:val="000000"/>
          <w:sz w:val="27"/>
          <w:szCs w:val="27"/>
        </w:rPr>
        <w:t>Technologies</w:t>
      </w:r>
      <w:r>
        <w:rPr>
          <w:rFonts w:ascii="Arial" w:hAnsi="Arial" w:cs="Arial"/>
          <w:color w:val="000000"/>
          <w:sz w:val="27"/>
          <w:szCs w:val="27"/>
        </w:rPr>
        <w:t xml:space="preserve"> Council, Steve developed long-term relationships </w:t>
      </w:r>
      <w:r w:rsidR="004C72F8">
        <w:rPr>
          <w:rFonts w:ascii="Arial" w:hAnsi="Arial" w:cs="Arial"/>
          <w:color w:val="000000"/>
          <w:sz w:val="27"/>
          <w:szCs w:val="27"/>
        </w:rPr>
        <w:t>with</w:t>
      </w:r>
      <w:r>
        <w:rPr>
          <w:rFonts w:ascii="Arial" w:hAnsi="Arial" w:cs="Arial"/>
          <w:color w:val="000000"/>
          <w:sz w:val="27"/>
          <w:szCs w:val="27"/>
        </w:rPr>
        <w:t xml:space="preserve"> gasification technology </w:t>
      </w:r>
      <w:r w:rsidR="004C72F8">
        <w:rPr>
          <w:rFonts w:ascii="Arial" w:hAnsi="Arial" w:cs="Arial"/>
          <w:color w:val="000000"/>
          <w:sz w:val="27"/>
          <w:szCs w:val="27"/>
        </w:rPr>
        <w:t>suppliers</w:t>
      </w:r>
      <w:r>
        <w:rPr>
          <w:rFonts w:ascii="Arial" w:hAnsi="Arial" w:cs="Arial"/>
          <w:color w:val="000000"/>
          <w:sz w:val="27"/>
          <w:szCs w:val="27"/>
        </w:rPr>
        <w:t xml:space="preserve"> throughout the world. His “Gasification 101” workshops are well-known for their success in educating project </w:t>
      </w:r>
      <w:r w:rsidR="004C72F8">
        <w:rPr>
          <w:rFonts w:ascii="Arial" w:hAnsi="Arial" w:cs="Arial"/>
          <w:color w:val="000000"/>
          <w:sz w:val="27"/>
          <w:szCs w:val="27"/>
        </w:rPr>
        <w:t>developers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r w:rsidR="004C72F8">
        <w:rPr>
          <w:rFonts w:ascii="Arial" w:hAnsi="Arial" w:cs="Arial"/>
          <w:color w:val="000000"/>
          <w:sz w:val="27"/>
          <w:szCs w:val="27"/>
        </w:rPr>
        <w:t>engineers</w:t>
      </w:r>
      <w:r>
        <w:rPr>
          <w:rFonts w:ascii="Arial" w:hAnsi="Arial" w:cs="Arial"/>
          <w:color w:val="000000"/>
          <w:sz w:val="27"/>
          <w:szCs w:val="27"/>
        </w:rPr>
        <w:t xml:space="preserve">, regulatory agency staff, and environmental advocacy groups on the technical </w:t>
      </w:r>
      <w:r w:rsidR="004C72F8">
        <w:rPr>
          <w:rFonts w:ascii="Arial" w:hAnsi="Arial" w:cs="Arial"/>
          <w:color w:val="000000"/>
          <w:sz w:val="27"/>
          <w:szCs w:val="27"/>
        </w:rPr>
        <w:t>basics</w:t>
      </w:r>
      <w:r>
        <w:rPr>
          <w:rFonts w:ascii="Arial" w:hAnsi="Arial" w:cs="Arial"/>
          <w:color w:val="000000"/>
          <w:sz w:val="27"/>
          <w:szCs w:val="27"/>
        </w:rPr>
        <w:t xml:space="preserve"> and advantages of gasific</w:t>
      </w:r>
      <w:r w:rsidR="004C72F8">
        <w:rPr>
          <w:rFonts w:ascii="Arial" w:hAnsi="Arial" w:cs="Arial"/>
          <w:color w:val="000000"/>
          <w:sz w:val="27"/>
          <w:szCs w:val="27"/>
        </w:rPr>
        <w:t>ation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</w:p>
    <w:p w:rsidR="00F21784" w:rsidRDefault="00F21784" w:rsidP="00F21784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</w:p>
    <w:p w:rsidR="00F21784" w:rsidRDefault="00F21784" w:rsidP="00F21784">
      <w:pPr>
        <w:pStyle w:val="NormalWeb"/>
        <w:shd w:val="clear" w:color="auto" w:fill="E9EAEB"/>
        <w:spacing w:before="0" w:beforeAutospacing="0" w:after="0" w:afterAutospacing="0"/>
        <w:ind w:left="4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The gasification services provided by Energy </w:t>
      </w:r>
      <w:r w:rsidR="004C72F8">
        <w:rPr>
          <w:rFonts w:ascii="Arial" w:hAnsi="Arial" w:cs="Arial"/>
          <w:color w:val="000000"/>
          <w:sz w:val="27"/>
          <w:szCs w:val="27"/>
        </w:rPr>
        <w:t>&amp;</w:t>
      </w:r>
      <w:r>
        <w:rPr>
          <w:rFonts w:ascii="Arial" w:hAnsi="Arial" w:cs="Arial"/>
          <w:color w:val="000000"/>
          <w:sz w:val="27"/>
          <w:szCs w:val="27"/>
        </w:rPr>
        <w:t xml:space="preserve"> Chemicals Consulting, LLC include:</w:t>
      </w:r>
    </w:p>
    <w:p w:rsidR="00F21784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Gasifier technology evaluations and feasibility studies</w:t>
      </w:r>
    </w:p>
    <w:p w:rsidR="004C72F8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Independent Engineer assessments of gasification technologies and associated systems</w:t>
      </w:r>
    </w:p>
    <w:p w:rsidR="004C72F8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Project feasibility studies</w:t>
      </w:r>
    </w:p>
    <w:p w:rsidR="004C72F8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Conceptual gasification plant engineering</w:t>
      </w:r>
    </w:p>
    <w:p w:rsidR="004C72F8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Process characterizations</w:t>
      </w:r>
    </w:p>
    <w:p w:rsidR="004C72F8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Permitting </w:t>
      </w:r>
      <w:r w:rsidR="00B7617C">
        <w:rPr>
          <w:rFonts w:ascii="Arial" w:hAnsi="Arial" w:cs="Arial"/>
          <w:color w:val="000000"/>
          <w:sz w:val="27"/>
          <w:szCs w:val="27"/>
        </w:rPr>
        <w:t>assistance</w:t>
      </w:r>
    </w:p>
    <w:p w:rsidR="004C72F8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Owner’s engineering services</w:t>
      </w:r>
    </w:p>
    <w:p w:rsidR="004C72F8" w:rsidRDefault="00B7617C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Technical</w:t>
      </w:r>
      <w:r w:rsidR="004C72F8">
        <w:rPr>
          <w:rFonts w:ascii="Arial" w:hAnsi="Arial" w:cs="Arial"/>
          <w:color w:val="000000"/>
          <w:sz w:val="27"/>
          <w:szCs w:val="27"/>
        </w:rPr>
        <w:t xml:space="preserve"> consulting</w:t>
      </w:r>
    </w:p>
    <w:p w:rsidR="004C72F8" w:rsidRDefault="00B7617C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Operating</w:t>
      </w:r>
      <w:r w:rsidR="004C72F8">
        <w:rPr>
          <w:rFonts w:ascii="Arial" w:hAnsi="Arial" w:cs="Arial"/>
          <w:color w:val="000000"/>
          <w:sz w:val="27"/>
          <w:szCs w:val="27"/>
        </w:rPr>
        <w:t xml:space="preserve"> plant </w:t>
      </w:r>
      <w:r>
        <w:rPr>
          <w:rFonts w:ascii="Arial" w:hAnsi="Arial" w:cs="Arial"/>
          <w:color w:val="000000"/>
          <w:sz w:val="27"/>
          <w:szCs w:val="27"/>
        </w:rPr>
        <w:t>performance</w:t>
      </w:r>
      <w:r w:rsidR="004C72F8">
        <w:rPr>
          <w:rFonts w:ascii="Arial" w:hAnsi="Arial" w:cs="Arial"/>
          <w:color w:val="000000"/>
          <w:sz w:val="27"/>
          <w:szCs w:val="27"/>
        </w:rPr>
        <w:t xml:space="preserve"> assessments</w:t>
      </w:r>
    </w:p>
    <w:p w:rsidR="004C72F8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Identification of and </w:t>
      </w:r>
      <w:r w:rsidR="00B7617C">
        <w:rPr>
          <w:rFonts w:ascii="Arial" w:hAnsi="Arial" w:cs="Arial"/>
          <w:color w:val="000000"/>
          <w:sz w:val="27"/>
          <w:szCs w:val="27"/>
        </w:rPr>
        <w:t>solutions</w:t>
      </w:r>
      <w:r>
        <w:rPr>
          <w:rFonts w:ascii="Arial" w:hAnsi="Arial" w:cs="Arial"/>
          <w:color w:val="000000"/>
          <w:sz w:val="27"/>
          <w:szCs w:val="27"/>
        </w:rPr>
        <w:t xml:space="preserve"> for </w:t>
      </w:r>
      <w:r w:rsidR="00B7617C">
        <w:rPr>
          <w:rFonts w:ascii="Arial" w:hAnsi="Arial" w:cs="Arial"/>
          <w:color w:val="000000"/>
          <w:sz w:val="27"/>
          <w:szCs w:val="27"/>
        </w:rPr>
        <w:t>operating</w:t>
      </w:r>
      <w:r>
        <w:rPr>
          <w:rFonts w:ascii="Arial" w:hAnsi="Arial" w:cs="Arial"/>
          <w:color w:val="000000"/>
          <w:sz w:val="27"/>
          <w:szCs w:val="27"/>
        </w:rPr>
        <w:t xml:space="preserve"> plant problems</w:t>
      </w:r>
    </w:p>
    <w:p w:rsidR="004C72F8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“Gasification 101” workshops</w:t>
      </w:r>
    </w:p>
    <w:p w:rsidR="004C72F8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Public </w:t>
      </w:r>
      <w:r w:rsidR="00B7617C">
        <w:rPr>
          <w:rFonts w:ascii="Arial" w:hAnsi="Arial" w:cs="Arial"/>
          <w:color w:val="000000"/>
          <w:sz w:val="27"/>
          <w:szCs w:val="27"/>
        </w:rPr>
        <w:t>meetings</w:t>
      </w:r>
    </w:p>
    <w:p w:rsidR="004C72F8" w:rsidRPr="00F21784" w:rsidRDefault="004C72F8" w:rsidP="00F21784">
      <w:pPr>
        <w:pStyle w:val="NormalWeb"/>
        <w:numPr>
          <w:ilvl w:val="0"/>
          <w:numId w:val="1"/>
        </w:numPr>
        <w:shd w:val="clear" w:color="auto" w:fill="E9EA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Expert witness testimony</w:t>
      </w:r>
    </w:p>
    <w:p w:rsidR="00286D0E" w:rsidRDefault="00286D0E"/>
    <w:sectPr w:rsidR="0028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F60C1"/>
    <w:multiLevelType w:val="hybridMultilevel"/>
    <w:tmpl w:val="40F697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A2"/>
    <w:rsid w:val="00286D0E"/>
    <w:rsid w:val="0033310B"/>
    <w:rsid w:val="004C72F8"/>
    <w:rsid w:val="00870AD9"/>
    <w:rsid w:val="00B7617C"/>
    <w:rsid w:val="00BE1027"/>
    <w:rsid w:val="00DF496E"/>
    <w:rsid w:val="00F21784"/>
    <w:rsid w:val="00F2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EFF7-845A-4874-BEC1-D81FEAD6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271A2"/>
  </w:style>
  <w:style w:type="character" w:styleId="Hyperlink">
    <w:name w:val="Hyperlink"/>
    <w:basedOn w:val="DefaultParagraphFont"/>
    <w:uiPriority w:val="99"/>
    <w:unhideWhenUsed/>
    <w:rsid w:val="00F27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jenkins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Jenkins</dc:creator>
  <cp:keywords/>
  <dc:description/>
  <cp:lastModifiedBy>Donna Hanrahan</cp:lastModifiedBy>
  <cp:revision>2</cp:revision>
  <dcterms:created xsi:type="dcterms:W3CDTF">2015-09-21T15:16:00Z</dcterms:created>
  <dcterms:modified xsi:type="dcterms:W3CDTF">2015-09-21T15:16:00Z</dcterms:modified>
</cp:coreProperties>
</file>